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# 106bis-e   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MS Mincho" w:cs="Arial"/>
          <w:b/>
          <w:sz w:val="24"/>
          <w:szCs w:val="24"/>
        </w:rPr>
        <w:t>R4-2305934</w:t>
      </w:r>
      <w:r>
        <w:rPr>
          <w:rFonts w:hint="eastAsia" w:ascii="Arial" w:hAnsi="Arial" w:eastAsia="MS Mincho" w:cs="Arial"/>
          <w:b/>
          <w:sz w:val="24"/>
          <w:szCs w:val="24"/>
        </w:rPr>
        <w:tab/>
      </w:r>
    </w:p>
    <w:p>
      <w:pPr>
        <w:tabs>
          <w:tab w:val="right" w:pos="10440"/>
          <w:tab w:val="right" w:pos="13323"/>
        </w:tabs>
        <w:spacing w:after="240" w:afterLines="10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Electronic Meeting, 17 April –26 April, 202</w:t>
      </w: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hint="eastAsia" w:ascii="Arial" w:hAnsi="Arial" w:cs="Arial"/>
          <w:sz w:val="22"/>
          <w:lang w:val="en-US" w:eastAsia="zh-CN"/>
        </w:rPr>
        <w:t xml:space="preserve"> NCR-MT demodulation requirements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5.29.6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 w:val="0"/>
          <w:bCs/>
          <w:sz w:val="22"/>
          <w:lang w:val="en-US" w:eastAsia="zh-CN"/>
        </w:rPr>
        <w:t>ZTE Corporation</w:t>
      </w:r>
      <w:bookmarkStart w:id="0" w:name="_GoBack"/>
      <w:bookmarkEnd w:id="0"/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 w:eastAsia="宋体"/>
          <w:lang w:val="en-US" w:eastAsia="zh-CN"/>
        </w:rPr>
        <w:t>Demodulation requirements</w:t>
      </w: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1-1 General</w:t>
      </w:r>
    </w:p>
    <w:p>
      <w:pPr>
        <w:rPr>
          <w:rFonts w:hint="default"/>
          <w:lang w:val="en-US" w:eastAsia="zh-CN"/>
        </w:rPr>
      </w:pPr>
      <w:r>
        <w:rPr>
          <w:b/>
          <w:sz w:val="21"/>
          <w:szCs w:val="21"/>
          <w:u w:val="single"/>
          <w:lang w:eastAsia="ko-KR"/>
        </w:rPr>
        <w:t>Issue 1-1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-1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rFonts w:hint="eastAsia"/>
          <w:b/>
          <w:sz w:val="21"/>
          <w:szCs w:val="21"/>
          <w:u w:val="single"/>
          <w:lang w:eastAsia="ko-KR"/>
        </w:rPr>
        <w:t>Duplex mode</w:t>
      </w:r>
    </w:p>
    <w:p>
      <w:pPr>
        <w:rPr>
          <w:rFonts w:hint="default"/>
          <w:lang w:val="en-US" w:eastAsia="zh-CN"/>
        </w:rPr>
      </w:pPr>
      <w:r>
        <w:rPr>
          <w:b/>
          <w:lang w:eastAsia="zh-CN"/>
        </w:rPr>
        <w:t>Agreement</w:t>
      </w:r>
      <w:r>
        <w:rPr>
          <w:rFonts w:hint="eastAsia"/>
          <w:b/>
          <w:lang w:val="en-US" w:eastAsia="zh-CN"/>
        </w:rPr>
        <w:t>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Consider TDD for both NR FR1 and FR2, FDD for NR FR1.</w:t>
      </w:r>
    </w:p>
    <w:p>
      <w:pPr>
        <w:rPr>
          <w:b/>
          <w:sz w:val="21"/>
          <w:szCs w:val="21"/>
          <w:u w:val="single"/>
          <w:lang w:eastAsia="ko-KR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b/>
          <w:sz w:val="21"/>
          <w:szCs w:val="21"/>
          <w:highlight w:val="none"/>
          <w:u w:val="single"/>
          <w:lang w:eastAsia="ko-KR"/>
        </w:rPr>
        <w:t>Issue 1-1</w:t>
      </w:r>
      <w:r>
        <w:rPr>
          <w:rFonts w:hint="eastAsia" w:eastAsia="宋体"/>
          <w:b/>
          <w:sz w:val="21"/>
          <w:szCs w:val="21"/>
          <w:highlight w:val="none"/>
          <w:u w:val="single"/>
          <w:lang w:val="en-US" w:eastAsia="zh-CN"/>
        </w:rPr>
        <w:t>-2</w:t>
      </w:r>
      <w:r>
        <w:rPr>
          <w:b/>
          <w:sz w:val="21"/>
          <w:szCs w:val="21"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sz w:val="21"/>
          <w:szCs w:val="21"/>
          <w:highlight w:val="none"/>
          <w:u w:val="single"/>
          <w:lang w:eastAsia="ko-KR"/>
        </w:rPr>
        <w:t>Whether define new requirements for FR1</w:t>
      </w:r>
    </w:p>
    <w:p>
      <w:pPr>
        <w:rPr>
          <w:rFonts w:hint="default"/>
          <w:lang w:val="en-US" w:eastAsia="zh-CN"/>
        </w:rPr>
      </w:pPr>
      <w:r>
        <w:rPr>
          <w:b/>
          <w:lang w:eastAsia="zh-CN"/>
        </w:rPr>
        <w:t>Agreement</w:t>
      </w:r>
      <w:r>
        <w:rPr>
          <w:rFonts w:hint="eastAsia"/>
          <w:b/>
          <w:lang w:val="en-US" w:eastAsia="zh-CN"/>
        </w:rPr>
        <w:t>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Define new requirements for FDD/15 KHz and TDD/30 KHz for 1 layer only by reusing/adapting requirements for IAB-MT. 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10M/15kHz; 40M/30kHz 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 FFS whether need to consider additional CHBW 5MHz/15kHz</w:t>
      </w:r>
    </w:p>
    <w:p>
      <w:pPr>
        <w:pStyle w:val="71"/>
        <w:numPr>
          <w:ilvl w:val="0"/>
          <w:numId w:val="0"/>
        </w:numPr>
        <w:autoSpaceDN w:val="0"/>
        <w:spacing w:after="120"/>
        <w:ind w:left="576" w:leftChars="0"/>
        <w:rPr>
          <w:rFonts w:eastAsia="宋体"/>
          <w:sz w:val="21"/>
          <w:szCs w:val="21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b/>
          <w:sz w:val="21"/>
          <w:szCs w:val="21"/>
          <w:highlight w:val="none"/>
          <w:u w:val="single"/>
          <w:lang w:eastAsia="ko-KR"/>
        </w:rPr>
        <w:t>Issue 1-1</w:t>
      </w:r>
      <w:r>
        <w:rPr>
          <w:rFonts w:hint="eastAsia" w:eastAsia="宋体"/>
          <w:b/>
          <w:sz w:val="21"/>
          <w:szCs w:val="21"/>
          <w:highlight w:val="none"/>
          <w:u w:val="single"/>
          <w:lang w:val="en-US" w:eastAsia="zh-CN"/>
        </w:rPr>
        <w:t>-3</w:t>
      </w:r>
      <w:r>
        <w:rPr>
          <w:b/>
          <w:sz w:val="21"/>
          <w:szCs w:val="21"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sz w:val="21"/>
          <w:szCs w:val="21"/>
          <w:highlight w:val="none"/>
          <w:u w:val="single"/>
          <w:lang w:eastAsia="ko-KR"/>
        </w:rPr>
        <w:t>Whether define new requirements for FR2</w:t>
      </w:r>
    </w:p>
    <w:p>
      <w:pPr>
        <w:rPr>
          <w:rFonts w:hint="default"/>
          <w:lang w:val="en-US" w:eastAsia="zh-CN"/>
        </w:rPr>
      </w:pPr>
      <w:r>
        <w:rPr>
          <w:b/>
          <w:lang w:eastAsia="zh-CN"/>
        </w:rPr>
        <w:t>Agreement</w:t>
      </w:r>
      <w:r>
        <w:rPr>
          <w:rFonts w:hint="eastAsia"/>
          <w:b/>
          <w:lang w:val="en-US" w:eastAsia="zh-CN"/>
        </w:rPr>
        <w:t>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Reuse IAB-MT requirements for NCR-MT demodulation and only consider Rank 1 </w:t>
      </w:r>
      <w:r>
        <w:rPr>
          <w:rFonts w:hint="eastAsia" w:eastAsia="宋体"/>
          <w:sz w:val="21"/>
          <w:szCs w:val="21"/>
          <w:lang w:val="en-US" w:eastAsia="zh-CN"/>
        </w:rPr>
        <w:t xml:space="preserve">with </w:t>
      </w:r>
      <w:r>
        <w:rPr>
          <w:rFonts w:hint="eastAsia" w:eastAsia="宋体"/>
          <w:sz w:val="21"/>
          <w:szCs w:val="21"/>
        </w:rPr>
        <w:t>100MHz/120kHz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FFS new requirements on PDCCH/PDSCH for signaling of Access link beam change indication</w:t>
      </w:r>
    </w:p>
    <w:p>
      <w:pPr>
        <w:rPr>
          <w:rFonts w:hint="eastAsia"/>
          <w:b/>
          <w:sz w:val="21"/>
          <w:szCs w:val="21"/>
          <w:u w:val="single"/>
          <w:lang w:val="en-US" w:eastAsia="zh-CN"/>
        </w:rPr>
      </w:pPr>
      <w:r>
        <w:rPr>
          <w:rFonts w:hint="eastAsia"/>
          <w:b/>
          <w:sz w:val="21"/>
          <w:szCs w:val="21"/>
          <w:u w:val="single"/>
          <w:lang w:val="en-US" w:eastAsia="zh-CN"/>
        </w:rPr>
        <w:t>Issue 1-1-4: Reference channels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default" w:eastAsia="宋体"/>
          <w:sz w:val="21"/>
          <w:szCs w:val="21"/>
          <w:lang w:val="en-US" w:eastAsia="zh-CN"/>
        </w:rPr>
        <w:t>Define single-slot FRCs similar as IAB-MT.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eastAsia="宋体"/>
          <w:sz w:val="21"/>
          <w:szCs w:val="21"/>
          <w:lang w:val="en-US" w:eastAsia="zh-CN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1-1-5: Reference signals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Do not define SSB, TRS, CSI-RS configurations as a part of demodulation performance test parameters or FRC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1-1-6: TDD and FDD pattern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Default pattern can be reused from IAB-MT.</w:t>
      </w:r>
    </w:p>
    <w:p>
      <w:pPr>
        <w:pStyle w:val="71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1-1-7: Others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RAN4 shall assume the same operating frequency band for both the C-link NCR-MT and the backhaul link of NCR-Fwd, when defining demodulation requirements for the C-link.</w:t>
      </w:r>
    </w:p>
    <w:p>
      <w:pPr>
        <w:pStyle w:val="71"/>
        <w:numPr>
          <w:ilvl w:val="0"/>
          <w:numId w:val="0"/>
        </w:numPr>
        <w:autoSpaceDN w:val="0"/>
        <w:spacing w:after="120"/>
        <w:ind w:left="576" w:left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1-1-8: Test for NCR-MT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As with IAB-MT, there shall be no restriction on the testing style for NCR-MT, but the BS-style testing shall be assumed by default.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1-1-9: Test scope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Define NCR-MT performance requirements based on Rel-15 UE performance requirements.</w:t>
      </w:r>
    </w:p>
    <w:p>
      <w:pPr>
        <w:pStyle w:val="71"/>
        <w:numPr>
          <w:ilvl w:val="0"/>
          <w:numId w:val="0"/>
        </w:numPr>
        <w:autoSpaceDN w:val="0"/>
        <w:spacing w:after="120"/>
        <w:ind w:left="576" w:left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1-2 PDSCH requirements</w:t>
      </w:r>
    </w:p>
    <w:p>
      <w:pPr>
        <w:rPr>
          <w:rFonts w:hint="default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b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hint="eastAsia" w:eastAsia="宋体"/>
          <w:b/>
          <w:sz w:val="21"/>
          <w:szCs w:val="21"/>
          <w:highlight w:val="none"/>
          <w:u w:val="single"/>
          <w:lang w:val="en-US" w:eastAsia="zh-CN"/>
        </w:rPr>
        <w:t>2-1</w:t>
      </w:r>
      <w:r>
        <w:rPr>
          <w:b/>
          <w:sz w:val="21"/>
          <w:szCs w:val="21"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sz w:val="21"/>
          <w:szCs w:val="21"/>
          <w:highlight w:val="none"/>
          <w:u w:val="single"/>
          <w:lang w:eastAsia="ko-KR"/>
        </w:rPr>
        <w:t>How to define PDSCH requirements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Both 70% and 30% throughput cases agreed as baseline assumption for the test cases reused from IAB-MT requirements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Other values higher than 70% not precluded 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FFS for the test metric of new test case for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specifically for MAC-CE Access link beam indication transmitted over PDSCH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if introduced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  <w:t>Issue 1-2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-2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  <w:t>: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 xml:space="preserve"> MCS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QPSK and 16QAM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  <w:t>Issue 1-2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-3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  <w:t>: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 xml:space="preserve"> Rank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Rank 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  <w:t>Issue 1-2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-4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ko-KR" w:bidi="ar-SA"/>
        </w:rPr>
        <w:t>: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 xml:space="preserve"> Antenna configuration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2x2 and 2x4 for FR1; 2x2 for FR2 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1-2-5: Propagation conditions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TDLA30-10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1-2-6: Mapping type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Mapping type A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1-2-7: PRB bundling size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1-2-8: Receiver type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MMSE-IRC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1-2-9: Overlapped CSI-RS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Agreements: 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Do not consider CSI-RS overlapped with PDSCH.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 w:bidi="ar-SA"/>
        </w:rPr>
        <w:t>Issue 1-2-10: Co-existence with LTE CRS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Do not consider PDCSH Co-existence with LTE CRS.</w:t>
      </w:r>
    </w:p>
    <w:p>
      <w:pPr>
        <w:outlineLvl w:val="9"/>
      </w:pP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1-3 PDCCH requirements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1-3-1: How to define PDCCH requirements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Reuse UE requirements for FDD and TDD 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FFS for adapt PDCCH requirement for testing of DCI type 5_0 used for access link beam change indication.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 xml:space="preserve">Issue 1-3-2: Coreset for FDD 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Option 1: 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1TX: coreset duration 2 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2TX: coreset duration 1 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Option 2: 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1TX: coreset duration 1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2TX: coreset duration 1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yellow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1-3-3: Coreset for TDD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coreset duration 1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1-3-4: Aggregation Level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1TX: aggregation level 2 and 4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2TX: aggregation level 8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1-3-5: Propagation condition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ko-K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TDLA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30-10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1-3-6: Antenna configuration</w:t>
      </w:r>
    </w:p>
    <w:p>
      <w:pPr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1/2 TX; 2/4 RX 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1-4 PBCH requirements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1-4-1: Whether define PBCH requirements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Do not define PBCH requirements for NCR-MT.</w:t>
      </w:r>
    </w:p>
    <w:p>
      <w:pPr>
        <w:outlineLvl w:val="9"/>
      </w:pP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1-5 SDR requirements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1-5-1: Whether to define SDR requirements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Do not define SDR requirements for NCR-MT.</w:t>
      </w:r>
    </w:p>
    <w:p>
      <w:pPr>
        <w:pStyle w:val="2"/>
        <w:numPr>
          <w:ilvl w:val="0"/>
          <w:numId w:val="1"/>
        </w:numPr>
        <w:ind w:left="1134" w:leftChars="0" w:hanging="113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CSI requirements</w:t>
      </w: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2-1 CQI requirements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2-1-1: Whether define CQI requirements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Yes</w:t>
      </w:r>
    </w:p>
    <w:p>
      <w:pPr>
        <w:pStyle w:val="71"/>
        <w:numPr>
          <w:ilvl w:val="1"/>
          <w:numId w:val="2"/>
        </w:numPr>
        <w:autoSpaceDN w:val="0"/>
        <w:spacing w:after="120"/>
        <w:ind w:left="1656" w:leftChars="0" w:hanging="360" w:firstLineChars="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Reuse the existing requirements for CQI.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2-1-2: Propagation condition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static channel(AWGN)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 xml:space="preserve">Issue 2-1-3: 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ko-KR" w:bidi="ar-SA"/>
        </w:rPr>
        <w:t>CSI-RS configuration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 xml:space="preserve"> and CSI reporting 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Periodic</w:t>
      </w: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pStyle w:val="71"/>
        <w:numPr>
          <w:ilvl w:val="0"/>
          <w:numId w:val="0"/>
        </w:numPr>
        <w:autoSpaceDN w:val="0"/>
        <w:spacing w:after="120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 xml:space="preserve">Issue 2-1-4: Antenna configuration </w:t>
      </w:r>
    </w:p>
    <w:p>
      <w:pPr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2x2, 2x4 (FR1) and 2x2 (FR2).</w:t>
      </w:r>
    </w:p>
    <w:p>
      <w:pPr>
        <w:ind w:left="0" w:leftChars="0" w:firstLine="0" w:firstLineChars="0"/>
        <w:outlineLvl w:val="9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ind w:left="0" w:leftChars="0" w:firstLine="0" w:firstLineChars="0"/>
        <w:outlineLvl w:val="9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 xml:space="preserve">Issue -2-1-5: CQI table 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Agreements: 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Table 2.</w:t>
      </w:r>
    </w:p>
    <w:p>
      <w:pPr>
        <w:ind w:left="0" w:leftChars="0" w:firstLine="0" w:firstLineChars="0"/>
        <w:outlineLvl w:val="9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p>
      <w:pPr>
        <w:ind w:left="0" w:leftChars="0" w:firstLine="0" w:firstLineChars="0"/>
        <w:outlineLvl w:val="9"/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 xml:space="preserve">Issue 2-1-6: Others </w:t>
      </w:r>
    </w:p>
    <w:p>
      <w:pPr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Wideband</w:t>
      </w:r>
    </w:p>
    <w:p>
      <w:pPr>
        <w:outlineLvl w:val="9"/>
      </w:pP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2-2 PMI requirements</w:t>
      </w:r>
    </w:p>
    <w:p>
      <w:pPr>
        <w:ind w:left="0" w:leftChars="0" w:firstLine="0" w:firstLineChars="0"/>
        <w:outlineLvl w:val="9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2-2-1:Whether define PMI requirements</w:t>
      </w:r>
    </w:p>
    <w:p>
      <w:pPr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FFS whether need to define PMI reporting requirements</w:t>
      </w:r>
    </w:p>
    <w:p>
      <w:pPr>
        <w:pStyle w:val="3"/>
        <w:rPr>
          <w:rFonts w:hint="eastAsia" w:eastAsia="宋体"/>
          <w:lang w:val="en-US" w:eastAsia="zh-CN"/>
        </w:rPr>
      </w:pPr>
      <w:r>
        <w:t xml:space="preserve">Sub-topic </w:t>
      </w:r>
      <w:r>
        <w:rPr>
          <w:rFonts w:hint="eastAsia" w:eastAsia="宋体"/>
          <w:lang w:val="en-US" w:eastAsia="zh-CN"/>
        </w:rPr>
        <w:t>2-3 RI requirements</w:t>
      </w:r>
    </w:p>
    <w:p>
      <w:pPr>
        <w:rPr>
          <w:rFonts w:hint="default"/>
          <w:lang w:val="en-US" w:eastAsia="zh-CN"/>
        </w:rPr>
      </w:pPr>
    </w:p>
    <w:p>
      <w:pPr>
        <w:ind w:left="0" w:leftChars="0" w:firstLine="0" w:firstLineChars="0"/>
        <w:outlineLvl w:val="9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  <w:t>Issue 2-3-1: Whether define RI requirements</w:t>
      </w:r>
    </w:p>
    <w:p>
      <w:pPr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Agreements:</w:t>
      </w:r>
    </w:p>
    <w:p>
      <w:pPr>
        <w:pStyle w:val="71"/>
        <w:numPr>
          <w:ilvl w:val="0"/>
          <w:numId w:val="2"/>
        </w:numPr>
        <w:autoSpaceDN w:val="0"/>
        <w:spacing w:after="120"/>
        <w:ind w:left="960" w:leftChars="0" w:firstLineChars="0"/>
        <w:rPr>
          <w:rFonts w:hint="eastAsia" w:ascii="Times New Roman" w:hAnsi="Times New Roman" w:eastAsia="宋体" w:cs="Times New Roman"/>
          <w:sz w:val="21"/>
          <w:szCs w:val="21"/>
          <w:lang w:val="en-US" w:eastAsia="ko-K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Do not define RI requirements for NCR-MT</w:t>
      </w:r>
    </w:p>
    <w:p>
      <w:pPr>
        <w:ind w:left="0" w:leftChars="0" w:firstLine="0" w:firstLineChars="0"/>
        <w:outlineLvl w:val="9"/>
        <w:rPr>
          <w:rFonts w:hint="default" w:ascii="Times New Roman" w:hAnsi="Times New Roman" w:eastAsia="Times New Roman" w:cs="Times New Roman"/>
          <w:b/>
          <w:sz w:val="21"/>
          <w:szCs w:val="21"/>
          <w:highlight w:val="none"/>
          <w:u w:val="single"/>
          <w:lang w:val="en-US" w:eastAsia="zh-CN" w:bidi="ar-SA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0C4EC"/>
    <w:multiLevelType w:val="singleLevel"/>
    <w:tmpl w:val="38D0C4E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300522"/>
    <w:rsid w:val="01657133"/>
    <w:rsid w:val="0F247A3F"/>
    <w:rsid w:val="19A90636"/>
    <w:rsid w:val="1AA735D1"/>
    <w:rsid w:val="1CAC03A1"/>
    <w:rsid w:val="1D770587"/>
    <w:rsid w:val="203976FF"/>
    <w:rsid w:val="24E0427F"/>
    <w:rsid w:val="32431697"/>
    <w:rsid w:val="342E7AE2"/>
    <w:rsid w:val="3D2D2700"/>
    <w:rsid w:val="57CC4639"/>
    <w:rsid w:val="596D5AEC"/>
    <w:rsid w:val="63120446"/>
    <w:rsid w:val="6780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5">
    <w:name w:val="Default Paragraph Font"/>
    <w:qFormat/>
    <w:uiPriority w:val="0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59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70"/>
    <w:semiHidden/>
    <w:unhideWhenUsed/>
    <w:qFormat/>
    <w:uiPriority w:val="99"/>
    <w:pPr>
      <w:ind w:left="100" w:leftChars="2500"/>
    </w:pPr>
  </w:style>
  <w:style w:type="paragraph" w:styleId="33">
    <w:name w:val="Balloon Text"/>
    <w:basedOn w:val="1"/>
    <w:link w:val="6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69"/>
    <w:qFormat/>
    <w:uiPriority w:val="0"/>
    <w:pPr>
      <w:jc w:val="center"/>
    </w:pPr>
    <w:rPr>
      <w:i/>
    </w:rPr>
  </w:style>
  <w:style w:type="paragraph" w:styleId="35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6">
    <w:name w:val="footnote text"/>
    <w:basedOn w:val="1"/>
    <w:link w:val="7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semiHidden/>
    <w:qFormat/>
    <w:uiPriority w:val="0"/>
    <w:pPr>
      <w:ind w:left="1702"/>
    </w:pPr>
  </w:style>
  <w:style w:type="paragraph" w:styleId="38">
    <w:name w:val="List 4"/>
    <w:basedOn w:val="12"/>
    <w:semiHidden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49">
    <w:name w:val="Heading 3 Char1"/>
    <w:link w:val="4"/>
    <w:qFormat/>
    <w:uiPriority w:val="0"/>
    <w:rPr>
      <w:rFonts w:ascii="Arial" w:hAnsi="Arial" w:eastAsia="Times New Roman"/>
      <w:sz w:val="28"/>
    </w:rPr>
  </w:style>
  <w:style w:type="character" w:customStyle="1" w:styleId="50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6">
    <w:name w:val="TAC"/>
    <w:basedOn w:val="57"/>
    <w:link w:val="58"/>
    <w:qFormat/>
    <w:uiPriority w:val="0"/>
    <w:pPr>
      <w:jc w:val="center"/>
    </w:pPr>
  </w:style>
  <w:style w:type="paragraph" w:customStyle="1" w:styleId="57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C Ch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0">
    <w:name w:val="Balloon Text Char"/>
    <w:link w:val="3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L Car"/>
    <w:link w:val="57"/>
    <w:qFormat/>
    <w:locked/>
    <w:uiPriority w:val="0"/>
    <w:rPr>
      <w:rFonts w:ascii="Arial" w:hAnsi="Arial" w:eastAsia="Times New Roman"/>
      <w:sz w:val="18"/>
    </w:rPr>
  </w:style>
  <w:style w:type="paragraph" w:customStyle="1" w:styleId="62">
    <w:name w:val="TAH"/>
    <w:basedOn w:val="56"/>
    <w:link w:val="66"/>
    <w:qFormat/>
    <w:uiPriority w:val="0"/>
    <w:rPr>
      <w:b/>
    </w:rPr>
  </w:style>
  <w:style w:type="character" w:customStyle="1" w:styleId="63">
    <w:name w:val="TH Char"/>
    <w:link w:val="64"/>
    <w:qFormat/>
    <w:locked/>
    <w:uiPriority w:val="0"/>
    <w:rPr>
      <w:rFonts w:ascii="Arial" w:hAnsi="Arial" w:eastAsia="Times New Roman"/>
      <w:b/>
    </w:rPr>
  </w:style>
  <w:style w:type="paragraph" w:customStyle="1" w:styleId="64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AN"/>
    <w:basedOn w:val="57"/>
    <w:link w:val="67"/>
    <w:qFormat/>
    <w:uiPriority w:val="0"/>
    <w:pPr>
      <w:ind w:left="851" w:hanging="851"/>
    </w:p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67">
    <w:name w:val="TAN Char"/>
    <w:link w:val="65"/>
    <w:qFormat/>
    <w:uiPriority w:val="0"/>
    <w:rPr>
      <w:rFonts w:ascii="Arial" w:hAnsi="Arial" w:eastAsia="Times New Roman"/>
      <w:sz w:val="18"/>
    </w:rPr>
  </w:style>
  <w:style w:type="character" w:customStyle="1" w:styleId="68">
    <w:name w:val="Header Char"/>
    <w:link w:val="35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Footer Char"/>
    <w:link w:val="34"/>
    <w:qFormat/>
    <w:uiPriority w:val="0"/>
    <w:rPr>
      <w:rFonts w:ascii="Arial" w:hAnsi="Arial" w:eastAsia="Times New Roman"/>
      <w:b/>
      <w:i/>
      <w:sz w:val="18"/>
    </w:rPr>
  </w:style>
  <w:style w:type="character" w:customStyle="1" w:styleId="70">
    <w:name w:val="Date Char"/>
    <w:link w:val="32"/>
    <w:semiHidden/>
    <w:qFormat/>
    <w:uiPriority w:val="99"/>
    <w:rPr>
      <w:rFonts w:ascii="Times New Roman" w:hAnsi="Times New Roman"/>
      <w:lang w:val="en-GB" w:eastAsia="en-US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texhtml"/>
    <w:basedOn w:val="45"/>
    <w:qFormat/>
    <w:uiPriority w:val="0"/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Footnote Text Char"/>
    <w:basedOn w:val="45"/>
    <w:link w:val="36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7">
    <w:name w:val="TF"/>
    <w:basedOn w:val="64"/>
    <w:qFormat/>
    <w:uiPriority w:val="0"/>
    <w:pPr>
      <w:keepNext w:val="0"/>
      <w:spacing w:before="0" w:after="240"/>
    </w:pPr>
  </w:style>
  <w:style w:type="paragraph" w:customStyle="1" w:styleId="78">
    <w:name w:val="NO"/>
    <w:basedOn w:val="1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7">
    <w:name w:val="TAR"/>
    <w:basedOn w:val="57"/>
    <w:qFormat/>
    <w:uiPriority w:val="0"/>
    <w:pPr>
      <w:jc w:val="right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Editor's Note"/>
    <w:basedOn w:val="78"/>
    <w:qFormat/>
    <w:uiPriority w:val="0"/>
    <w:rPr>
      <w:color w:val="FF0000"/>
    </w:rPr>
  </w:style>
  <w:style w:type="paragraph" w:customStyle="1" w:styleId="96">
    <w:name w:val="B1"/>
    <w:basedOn w:val="14"/>
    <w:qFormat/>
    <w:uiPriority w:val="0"/>
  </w:style>
  <w:style w:type="paragraph" w:customStyle="1" w:styleId="97">
    <w:name w:val="B2"/>
    <w:basedOn w:val="13"/>
    <w:qFormat/>
    <w:uiPriority w:val="0"/>
  </w:style>
  <w:style w:type="paragraph" w:customStyle="1" w:styleId="98">
    <w:name w:val="B3"/>
    <w:basedOn w:val="12"/>
    <w:qFormat/>
    <w:uiPriority w:val="0"/>
  </w:style>
  <w:style w:type="paragraph" w:customStyle="1" w:styleId="99">
    <w:name w:val="B4"/>
    <w:basedOn w:val="38"/>
    <w:qFormat/>
    <w:uiPriority w:val="0"/>
  </w:style>
  <w:style w:type="paragraph" w:customStyle="1" w:styleId="100">
    <w:name w:val="B5"/>
    <w:basedOn w:val="37"/>
    <w:qFormat/>
    <w:uiPriority w:val="0"/>
  </w:style>
  <w:style w:type="paragraph" w:customStyle="1" w:styleId="101">
    <w:name w:val="ZTD"/>
    <w:basedOn w:val="89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12</TotalTime>
  <ScaleCrop>false</ScaleCrop>
  <LinksUpToDate>false</LinksUpToDate>
  <CharactersWithSpaces>300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Moderator</cp:lastModifiedBy>
  <dcterms:modified xsi:type="dcterms:W3CDTF">2023-04-26T06:08:01Z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</Properties>
</file>